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75E" w:rsidRPr="0084675E" w:rsidRDefault="0084675E" w:rsidP="0084675E">
      <w:pPr>
        <w:spacing w:line="360" w:lineRule="auto"/>
        <w:jc w:val="center"/>
        <w:rPr>
          <w:rFonts w:eastAsia="Times New Roman" w:cstheme="minorHAnsi"/>
          <w:b/>
          <w:bCs/>
          <w:color w:val="000000"/>
          <w:sz w:val="20"/>
          <w:szCs w:val="20"/>
          <w:lang w:eastAsia="fr-FR"/>
        </w:rPr>
      </w:pPr>
      <w:r w:rsidRPr="0084675E">
        <w:rPr>
          <w:rFonts w:eastAsia="Times New Roman" w:cstheme="minorHAnsi"/>
          <w:b/>
          <w:bCs/>
          <w:color w:val="000000"/>
          <w:sz w:val="20"/>
          <w:szCs w:val="20"/>
          <w:highlight w:val="yellow"/>
          <w:lang w:eastAsia="fr-FR"/>
        </w:rPr>
        <w:t>Règles pour inscrire une thèse et la mener à bien</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 xml:space="preserve">- </w:t>
      </w:r>
      <w:r w:rsidRPr="0084675E">
        <w:rPr>
          <w:rFonts w:eastAsia="Times New Roman" w:cstheme="minorHAnsi"/>
          <w:color w:val="000000"/>
          <w:sz w:val="20"/>
          <w:szCs w:val="20"/>
          <w:highlight w:val="yellow"/>
          <w:lang w:eastAsia="fr-FR"/>
        </w:rPr>
        <w:t>une </w:t>
      </w:r>
      <w:r w:rsidRPr="0084675E">
        <w:rPr>
          <w:rFonts w:eastAsia="Times New Roman" w:cstheme="minorHAnsi"/>
          <w:b/>
          <w:bCs/>
          <w:color w:val="000000"/>
          <w:sz w:val="20"/>
          <w:szCs w:val="20"/>
          <w:highlight w:val="yellow"/>
          <w:lang w:eastAsia="fr-FR"/>
        </w:rPr>
        <w:t>inscription en thèse</w:t>
      </w:r>
      <w:r w:rsidRPr="0084675E">
        <w:rPr>
          <w:rFonts w:eastAsia="Times New Roman" w:cstheme="minorHAnsi"/>
          <w:b/>
          <w:bCs/>
          <w:color w:val="000000"/>
          <w:sz w:val="20"/>
          <w:szCs w:val="20"/>
          <w:lang w:eastAsia="fr-FR"/>
        </w:rPr>
        <w:t xml:space="preserve"> suppose un Master 2 soutenu avec 14/20 au moins</w:t>
      </w:r>
    </w:p>
    <w:p w:rsidR="0084675E" w:rsidRPr="0084675E" w:rsidRDefault="0084675E" w:rsidP="0084675E">
      <w:pPr>
        <w:spacing w:after="120"/>
        <w:ind w:left="709"/>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 en-dessous de 14 et/ou avec un diplôme étranger, le dossier passe obligatoirement en conseil d'ED avant inscription. Si la moyenne est légèrement en-dessous de 14 mais le mémoire noté "bien", la dérogation s'obtient assez facilement. </w:t>
      </w:r>
    </w:p>
    <w:p w:rsidR="0084675E" w:rsidRPr="0084675E" w:rsidRDefault="0084675E" w:rsidP="0084675E">
      <w:pPr>
        <w:spacing w:after="120"/>
        <w:ind w:left="709"/>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 si la personne s'inscrivant en doctorant n'a pas un niveau C1 un français, il faut également demander une dérogation au conseil de l'ED, avec une explication </w:t>
      </w:r>
    </w:p>
    <w:p w:rsidR="0084675E" w:rsidRPr="0084675E" w:rsidRDefault="0084675E" w:rsidP="0084675E">
      <w:pPr>
        <w:spacing w:after="120"/>
        <w:ind w:left="709"/>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 xml:space="preserve">- attention au nombre de thèses que vous êtes autorisés à inscrire: cela s'oriente vers 7 directions à 100% (obligatoire pour </w:t>
      </w:r>
      <w:proofErr w:type="spellStart"/>
      <w:r w:rsidRPr="0084675E">
        <w:rPr>
          <w:rFonts w:eastAsia="Times New Roman" w:cstheme="minorHAnsi"/>
          <w:color w:val="000000"/>
          <w:sz w:val="20"/>
          <w:szCs w:val="20"/>
          <w:lang w:eastAsia="fr-FR"/>
        </w:rPr>
        <w:t>FoReLLIS</w:t>
      </w:r>
      <w:proofErr w:type="spellEnd"/>
      <w:r w:rsidRPr="0084675E">
        <w:rPr>
          <w:rFonts w:eastAsia="Times New Roman" w:cstheme="minorHAnsi"/>
          <w:color w:val="000000"/>
          <w:sz w:val="20"/>
          <w:szCs w:val="20"/>
          <w:lang w:eastAsia="fr-FR"/>
        </w:rPr>
        <w:t xml:space="preserve"> A, apparemment encore un peu plus souple pour B): si vous inscrivez toutes les thèses en </w:t>
      </w:r>
      <w:proofErr w:type="spellStart"/>
      <w:r w:rsidRPr="0084675E">
        <w:rPr>
          <w:rFonts w:eastAsia="Times New Roman" w:cstheme="minorHAnsi"/>
          <w:color w:val="000000"/>
          <w:sz w:val="20"/>
          <w:szCs w:val="20"/>
          <w:lang w:eastAsia="fr-FR"/>
        </w:rPr>
        <w:t>co-direction</w:t>
      </w:r>
      <w:proofErr w:type="spellEnd"/>
      <w:r w:rsidRPr="0084675E">
        <w:rPr>
          <w:rFonts w:eastAsia="Times New Roman" w:cstheme="minorHAnsi"/>
          <w:color w:val="000000"/>
          <w:sz w:val="20"/>
          <w:szCs w:val="20"/>
          <w:lang w:eastAsia="fr-FR"/>
        </w:rPr>
        <w:t xml:space="preserve"> ou </w:t>
      </w:r>
      <w:proofErr w:type="spellStart"/>
      <w:r w:rsidRPr="0084675E">
        <w:rPr>
          <w:rFonts w:eastAsia="Times New Roman" w:cstheme="minorHAnsi"/>
          <w:color w:val="000000"/>
          <w:sz w:val="20"/>
          <w:szCs w:val="20"/>
          <w:lang w:eastAsia="fr-FR"/>
        </w:rPr>
        <w:t>co-tutelle</w:t>
      </w:r>
      <w:proofErr w:type="spellEnd"/>
      <w:r w:rsidRPr="0084675E">
        <w:rPr>
          <w:rFonts w:eastAsia="Times New Roman" w:cstheme="minorHAnsi"/>
          <w:color w:val="000000"/>
          <w:sz w:val="20"/>
          <w:szCs w:val="20"/>
          <w:lang w:eastAsia="fr-FR"/>
        </w:rPr>
        <w:t xml:space="preserve"> à 50%, vous pouvez toujours atteindre un maximum de 14 thésards... </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highlight w:val="yellow"/>
          <w:lang w:eastAsia="fr-FR"/>
        </w:rPr>
        <w:t>Durée des thèses</w:t>
      </w:r>
      <w:r w:rsidRPr="0084675E">
        <w:rPr>
          <w:rFonts w:eastAsia="Times New Roman" w:cstheme="minorHAnsi"/>
          <w:color w:val="000000"/>
          <w:sz w:val="20"/>
          <w:szCs w:val="20"/>
          <w:lang w:eastAsia="fr-FR"/>
        </w:rPr>
        <w:t>:</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Attention, la</w:t>
      </w:r>
      <w:r w:rsidRPr="0084675E">
        <w:rPr>
          <w:rFonts w:eastAsia="Times New Roman" w:cstheme="minorHAnsi"/>
          <w:b/>
          <w:bCs/>
          <w:color w:val="000000"/>
          <w:sz w:val="20"/>
          <w:szCs w:val="20"/>
          <w:lang w:eastAsia="fr-FR"/>
        </w:rPr>
        <w:t> durée possible des thèses devient très stricte:</w:t>
      </w:r>
      <w:r w:rsidRPr="0084675E">
        <w:rPr>
          <w:rFonts w:eastAsia="Times New Roman" w:cstheme="minorHAnsi"/>
          <w:color w:val="000000"/>
          <w:sz w:val="20"/>
          <w:szCs w:val="20"/>
          <w:lang w:eastAsia="fr-FR"/>
        </w:rPr>
        <w:t> pour les nouveaux inscrits (les anciens, notamment concernés par le covid, ont encore un peu plus de souplesse):</w:t>
      </w:r>
    </w:p>
    <w:p w:rsidR="0084675E" w:rsidRPr="0084675E" w:rsidRDefault="0084675E" w:rsidP="0084675E">
      <w:pPr>
        <w:spacing w:after="120"/>
        <w:ind w:left="709"/>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 xml:space="preserve">- thèse financée (quel que soit le contrat!!! </w:t>
      </w:r>
      <w:proofErr w:type="spellStart"/>
      <w:r w:rsidRPr="0084675E">
        <w:rPr>
          <w:rFonts w:eastAsia="Times New Roman" w:cstheme="minorHAnsi"/>
          <w:color w:val="000000"/>
          <w:sz w:val="20"/>
          <w:szCs w:val="20"/>
          <w:lang w:eastAsia="fr-FR"/>
        </w:rPr>
        <w:t>Cifre</w:t>
      </w:r>
      <w:proofErr w:type="spellEnd"/>
      <w:r w:rsidRPr="0084675E">
        <w:rPr>
          <w:rFonts w:eastAsia="Times New Roman" w:cstheme="minorHAnsi"/>
          <w:color w:val="000000"/>
          <w:sz w:val="20"/>
          <w:szCs w:val="20"/>
          <w:lang w:eastAsia="fr-FR"/>
        </w:rPr>
        <w:t xml:space="preserve"> compris): </w:t>
      </w:r>
      <w:r w:rsidRPr="0084675E">
        <w:rPr>
          <w:rFonts w:eastAsia="Times New Roman" w:cstheme="minorHAnsi"/>
          <w:b/>
          <w:bCs/>
          <w:color w:val="000000"/>
          <w:sz w:val="20"/>
          <w:szCs w:val="20"/>
          <w:lang w:eastAsia="fr-FR"/>
        </w:rPr>
        <w:t>3 ans plus une 4e année dérogatoire</w:t>
      </w:r>
    </w:p>
    <w:p w:rsidR="0084675E" w:rsidRPr="0084675E" w:rsidRDefault="0084675E" w:rsidP="0084675E">
      <w:pPr>
        <w:spacing w:after="120"/>
        <w:ind w:left="709"/>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 thèse non-financée ("</w:t>
      </w:r>
      <w:r w:rsidRPr="0084675E">
        <w:rPr>
          <w:rFonts w:eastAsia="Times New Roman" w:cstheme="minorHAnsi"/>
          <w:b/>
          <w:bCs/>
          <w:color w:val="000000"/>
          <w:sz w:val="20"/>
          <w:szCs w:val="20"/>
          <w:lang w:eastAsia="fr-FR"/>
        </w:rPr>
        <w:t>à mi-temps</w:t>
      </w:r>
      <w:r w:rsidRPr="0084675E">
        <w:rPr>
          <w:rFonts w:eastAsia="Times New Roman" w:cstheme="minorHAnsi"/>
          <w:color w:val="000000"/>
          <w:sz w:val="20"/>
          <w:szCs w:val="20"/>
          <w:lang w:eastAsia="fr-FR"/>
        </w:rPr>
        <w:t>"): </w:t>
      </w:r>
      <w:r w:rsidRPr="0084675E">
        <w:rPr>
          <w:rFonts w:eastAsia="Times New Roman" w:cstheme="minorHAnsi"/>
          <w:b/>
          <w:bCs/>
          <w:color w:val="000000"/>
          <w:sz w:val="20"/>
          <w:szCs w:val="20"/>
          <w:lang w:eastAsia="fr-FR"/>
        </w:rPr>
        <w:t>6 ans plus une 7e année dérogatoire</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Veillez à ne pas mettre l'argument "</w:t>
      </w:r>
      <w:proofErr w:type="gramStart"/>
      <w:r w:rsidRPr="0084675E">
        <w:rPr>
          <w:rFonts w:eastAsia="Times New Roman" w:cstheme="minorHAnsi"/>
          <w:color w:val="000000"/>
          <w:sz w:val="20"/>
          <w:szCs w:val="20"/>
          <w:lang w:eastAsia="fr-FR"/>
        </w:rPr>
        <w:t>le doctorants</w:t>
      </w:r>
      <w:proofErr w:type="gramEnd"/>
      <w:r w:rsidRPr="0084675E">
        <w:rPr>
          <w:rFonts w:eastAsia="Times New Roman" w:cstheme="minorHAnsi"/>
          <w:color w:val="000000"/>
          <w:sz w:val="20"/>
          <w:szCs w:val="20"/>
          <w:lang w:eastAsia="fr-FR"/>
        </w:rPr>
        <w:t xml:space="preserve"> a dû enseigner" dans vos lettres demandant dérogation, car on nous guette là-dessus pour interdire l'enseignement par les doctorants!</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b/>
          <w:bCs/>
          <w:color w:val="000000"/>
          <w:sz w:val="20"/>
          <w:szCs w:val="20"/>
          <w:highlight w:val="yellow"/>
          <w:lang w:eastAsia="fr-FR"/>
        </w:rPr>
        <w:t>Comité de suivi</w:t>
      </w:r>
      <w:r w:rsidRPr="0084675E">
        <w:rPr>
          <w:rFonts w:eastAsia="Times New Roman" w:cstheme="minorHAnsi"/>
          <w:b/>
          <w:bCs/>
          <w:color w:val="000000"/>
          <w:sz w:val="20"/>
          <w:szCs w:val="20"/>
          <w:lang w:eastAsia="fr-FR"/>
        </w:rPr>
        <w:t>:</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Les comités de suivi de thèse </w:t>
      </w:r>
      <w:r w:rsidRPr="0084675E">
        <w:rPr>
          <w:rFonts w:eastAsia="Times New Roman" w:cstheme="minorHAnsi"/>
          <w:b/>
          <w:bCs/>
          <w:color w:val="000000"/>
          <w:sz w:val="20"/>
          <w:szCs w:val="20"/>
          <w:lang w:eastAsia="fr-FR"/>
        </w:rPr>
        <w:t>deviennent obligatoires!!! tous les ans, pour tous vos doctorants (y compris de 1ère année)!</w:t>
      </w:r>
      <w:r w:rsidRPr="0084675E">
        <w:rPr>
          <w:rFonts w:eastAsia="Times New Roman" w:cstheme="minorHAnsi"/>
          <w:color w:val="000000"/>
          <w:sz w:val="20"/>
          <w:szCs w:val="20"/>
          <w:lang w:eastAsia="fr-FR"/>
        </w:rPr>
        <w:t> La</w:t>
      </w:r>
      <w:r w:rsidRPr="0084675E">
        <w:rPr>
          <w:rFonts w:eastAsia="Times New Roman" w:cstheme="minorHAnsi"/>
          <w:b/>
          <w:bCs/>
          <w:color w:val="000000"/>
          <w:sz w:val="20"/>
          <w:szCs w:val="20"/>
          <w:lang w:eastAsia="fr-FR"/>
        </w:rPr>
        <w:t> responsabilité de constituer un comité de suivi vous revient en tant que directeur/directrice et vous devrez organiser ce suivi vous-mêmes désormais</w:t>
      </w:r>
      <w:r w:rsidRPr="0084675E">
        <w:rPr>
          <w:rFonts w:eastAsia="Times New Roman" w:cstheme="minorHAnsi"/>
          <w:color w:val="000000"/>
          <w:sz w:val="20"/>
          <w:szCs w:val="20"/>
          <w:lang w:eastAsia="fr-FR"/>
        </w:rPr>
        <w:t> (avant, en fonction de l'ED, c'était l'ED ou le labo qui organisaient), vers le mois de mai/juin. </w:t>
      </w:r>
      <w:r w:rsidRPr="0084675E">
        <w:rPr>
          <w:rFonts w:eastAsia="Times New Roman" w:cstheme="minorHAnsi"/>
          <w:b/>
          <w:bCs/>
          <w:color w:val="000000"/>
          <w:sz w:val="20"/>
          <w:szCs w:val="20"/>
          <w:lang w:eastAsia="fr-FR"/>
        </w:rPr>
        <w:t>EN VISIO</w:t>
      </w:r>
      <w:r w:rsidRPr="0084675E">
        <w:rPr>
          <w:rFonts w:eastAsia="Times New Roman" w:cstheme="minorHAnsi"/>
          <w:color w:val="000000"/>
          <w:sz w:val="20"/>
          <w:szCs w:val="20"/>
          <w:lang w:eastAsia="fr-FR"/>
        </w:rPr>
        <w:t>. </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Concrètement, je vous demanderai de me faire parvenir un comité qui puisse suivre le doctorant sur toute la durée de la thèse, composé</w:t>
      </w:r>
      <w:r>
        <w:rPr>
          <w:rFonts w:eastAsia="Times New Roman" w:cstheme="minorHAnsi"/>
          <w:color w:val="000000"/>
          <w:sz w:val="20"/>
          <w:szCs w:val="20"/>
          <w:lang w:eastAsia="fr-FR"/>
        </w:rPr>
        <w:t> :</w:t>
      </w:r>
    </w:p>
    <w:p w:rsidR="0084675E" w:rsidRPr="0084675E" w:rsidRDefault="0084675E" w:rsidP="0084675E">
      <w:pPr>
        <w:spacing w:after="120"/>
        <w:ind w:left="709"/>
        <w:jc w:val="both"/>
        <w:rPr>
          <w:rFonts w:eastAsia="Times New Roman" w:cstheme="minorHAnsi"/>
          <w:color w:val="000000"/>
          <w:sz w:val="20"/>
          <w:szCs w:val="20"/>
          <w:lang w:eastAsia="fr-FR"/>
        </w:rPr>
      </w:pPr>
      <w:r>
        <w:rPr>
          <w:rFonts w:eastAsia="Times New Roman" w:cstheme="minorHAnsi"/>
          <w:color w:val="000000"/>
          <w:sz w:val="20"/>
          <w:szCs w:val="20"/>
          <w:lang w:eastAsia="fr-FR"/>
        </w:rPr>
        <w:t xml:space="preserve">- </w:t>
      </w:r>
      <w:r w:rsidRPr="0084675E">
        <w:rPr>
          <w:rFonts w:eastAsia="Times New Roman" w:cstheme="minorHAnsi"/>
          <w:color w:val="000000"/>
          <w:sz w:val="20"/>
          <w:szCs w:val="20"/>
          <w:lang w:eastAsia="fr-FR"/>
        </w:rPr>
        <w:t xml:space="preserve">d'un membre interne à l'ED et normalement non-spécialiste de la question, soit d'une section CNU différente que votre doctorant </w:t>
      </w:r>
      <w:r>
        <w:rPr>
          <w:rFonts w:eastAsia="Times New Roman" w:cstheme="minorHAnsi"/>
          <w:color w:val="000000"/>
          <w:sz w:val="20"/>
          <w:szCs w:val="20"/>
          <w:lang w:eastAsia="fr-FR"/>
        </w:rPr>
        <w:t>–</w:t>
      </w:r>
      <w:r w:rsidRPr="0084675E">
        <w:rPr>
          <w:rFonts w:eastAsia="Times New Roman" w:cstheme="minorHAnsi"/>
          <w:color w:val="000000"/>
          <w:sz w:val="20"/>
          <w:szCs w:val="20"/>
          <w:lang w:eastAsia="fr-FR"/>
        </w:rPr>
        <w:t xml:space="preserve"> </w:t>
      </w:r>
      <w:r>
        <w:rPr>
          <w:rFonts w:eastAsia="Times New Roman" w:cstheme="minorHAnsi"/>
          <w:color w:val="000000"/>
          <w:sz w:val="20"/>
          <w:szCs w:val="20"/>
          <w:lang w:eastAsia="fr-FR"/>
        </w:rPr>
        <w:t xml:space="preserve">il n’est </w:t>
      </w:r>
      <w:r w:rsidRPr="0084675E">
        <w:rPr>
          <w:rFonts w:eastAsia="Times New Roman" w:cstheme="minorHAnsi"/>
          <w:color w:val="000000"/>
          <w:sz w:val="20"/>
          <w:szCs w:val="20"/>
          <w:lang w:eastAsia="fr-FR"/>
        </w:rPr>
        <w:t>plus possible de croiser entre A et B car il faut rester dans le paramètre de l'ED.</w:t>
      </w:r>
    </w:p>
    <w:p w:rsidR="0084675E" w:rsidRPr="0084675E" w:rsidRDefault="0084675E" w:rsidP="0084675E">
      <w:pPr>
        <w:spacing w:after="120"/>
        <w:ind w:left="709"/>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 et d'un membre spécialiste extérieur à l'ED - donc, d'</w:t>
      </w:r>
      <w:proofErr w:type="spellStart"/>
      <w:r w:rsidRPr="0084675E">
        <w:rPr>
          <w:rFonts w:eastAsia="Times New Roman" w:cstheme="minorHAnsi"/>
          <w:color w:val="000000"/>
          <w:sz w:val="20"/>
          <w:szCs w:val="20"/>
          <w:lang w:eastAsia="fr-FR"/>
        </w:rPr>
        <w:t>un.e</w:t>
      </w:r>
      <w:proofErr w:type="spellEnd"/>
      <w:r w:rsidRPr="0084675E">
        <w:rPr>
          <w:rFonts w:eastAsia="Times New Roman" w:cstheme="minorHAnsi"/>
          <w:color w:val="000000"/>
          <w:sz w:val="20"/>
          <w:szCs w:val="20"/>
          <w:lang w:eastAsia="fr-FR"/>
        </w:rPr>
        <w:t xml:space="preserve"> collègue de la même section CNU mais d'une autre ED/université</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Vous pouvez aussi prendre un spécialiste interne et un non-spécialiste externe, mais c'est plus compliqué, me semble-t-il. A vous de voir.</w:t>
      </w:r>
    </w:p>
    <w:p w:rsid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Le doctorant doit être d'accord avec le comité choisi. Les membres pourront siéger pour le jury.</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Attention: la directrice du laboratoire et les directeurs de la thèse en question ne peuvent pas faire partie de ce comité. </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En tout, il faudra compter une heure pour ce genre de comité, à distance, donc, mais avec intervention des directeurs de thèse à un moment donné. Les rapports devront transiter par la direction du labo (jusqu'à fin juin) et feront, comme c'est déjà le cas pour les doctorants de la 2e année, partie de la réinscription. </w:t>
      </w:r>
    </w:p>
    <w:p w:rsidR="0084675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b/>
          <w:bCs/>
          <w:color w:val="000000"/>
          <w:sz w:val="20"/>
          <w:szCs w:val="20"/>
          <w:highlight w:val="yellow"/>
          <w:lang w:eastAsia="fr-FR"/>
        </w:rPr>
        <w:t>Serment</w:t>
      </w:r>
    </w:p>
    <w:p w:rsidR="007A24DE" w:rsidRPr="0084675E" w:rsidRDefault="0084675E" w:rsidP="0084675E">
      <w:pPr>
        <w:spacing w:after="120"/>
        <w:jc w:val="both"/>
        <w:rPr>
          <w:rFonts w:eastAsia="Times New Roman" w:cstheme="minorHAnsi"/>
          <w:color w:val="000000"/>
          <w:sz w:val="20"/>
          <w:szCs w:val="20"/>
          <w:lang w:eastAsia="fr-FR"/>
        </w:rPr>
      </w:pPr>
      <w:r w:rsidRPr="0084675E">
        <w:rPr>
          <w:rFonts w:eastAsia="Times New Roman" w:cstheme="minorHAnsi"/>
          <w:color w:val="000000"/>
          <w:sz w:val="20"/>
          <w:szCs w:val="20"/>
          <w:lang w:eastAsia="fr-FR"/>
        </w:rPr>
        <w:t>A partir du 1</w:t>
      </w:r>
      <w:r w:rsidRPr="0084675E">
        <w:rPr>
          <w:rFonts w:eastAsia="Times New Roman" w:cstheme="minorHAnsi"/>
          <w:color w:val="000000"/>
          <w:sz w:val="20"/>
          <w:szCs w:val="20"/>
          <w:vertAlign w:val="superscript"/>
          <w:lang w:eastAsia="fr-FR"/>
        </w:rPr>
        <w:t>er</w:t>
      </w:r>
      <w:r>
        <w:rPr>
          <w:rFonts w:eastAsia="Times New Roman" w:cstheme="minorHAnsi"/>
          <w:color w:val="000000"/>
          <w:sz w:val="20"/>
          <w:szCs w:val="20"/>
          <w:lang w:eastAsia="fr-FR"/>
        </w:rPr>
        <w:t xml:space="preserve"> </w:t>
      </w:r>
      <w:r w:rsidRPr="0084675E">
        <w:rPr>
          <w:rFonts w:eastAsia="Times New Roman" w:cstheme="minorHAnsi"/>
          <w:color w:val="000000"/>
          <w:sz w:val="20"/>
          <w:szCs w:val="20"/>
          <w:lang w:eastAsia="fr-FR"/>
        </w:rPr>
        <w:t>janvier 2023, les soutenances de thèse se termineront obligatoirement par un serment du doctorant qui devra lire un texte (voir dans les règlements) et déclarer ainsi qu'il s'engage à respecter l'éthique de la bonne recherche. Ceci nous vient du</w:t>
      </w:r>
      <w:r>
        <w:rPr>
          <w:rFonts w:eastAsia="Times New Roman" w:cstheme="minorHAnsi"/>
          <w:color w:val="000000"/>
          <w:sz w:val="20"/>
          <w:szCs w:val="20"/>
          <w:lang w:eastAsia="fr-FR"/>
        </w:rPr>
        <w:t xml:space="preserve"> Ministère</w:t>
      </w:r>
      <w:r w:rsidRPr="0084675E">
        <w:rPr>
          <w:rFonts w:eastAsia="Times New Roman" w:cstheme="minorHAnsi"/>
          <w:color w:val="000000"/>
          <w:sz w:val="20"/>
          <w:szCs w:val="20"/>
          <w:lang w:eastAsia="fr-FR"/>
        </w:rPr>
        <w:t>.</w:t>
      </w:r>
    </w:p>
    <w:sectPr w:rsidR="007A24DE" w:rsidRPr="0084675E" w:rsidSect="0084675E">
      <w:pgSz w:w="16840" w:h="11900" w:orient="landscape" w:code="9"/>
      <w:pgMar w:top="720" w:right="720" w:bottom="720" w:left="720" w:header="709" w:footer="709" w:gutter="0"/>
      <w:cols w:num="2" w:space="4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5E"/>
    <w:rsid w:val="005865F1"/>
    <w:rsid w:val="007A24DE"/>
    <w:rsid w:val="0084675E"/>
    <w:rsid w:val="00B16B91"/>
    <w:rsid w:val="00C94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CBDAF1"/>
  <w14:defaultImageDpi w14:val="32767"/>
  <w15:chartTrackingRefBased/>
  <w15:docId w15:val="{D3A99197-BB30-B340-BF88-4B5609DC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4675E"/>
  </w:style>
  <w:style w:type="character" w:styleId="lev">
    <w:name w:val="Strong"/>
    <w:basedOn w:val="Policepardfaut"/>
    <w:uiPriority w:val="22"/>
    <w:qFormat/>
    <w:rsid w:val="00846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53375">
      <w:bodyDiv w:val="1"/>
      <w:marLeft w:val="0"/>
      <w:marRight w:val="0"/>
      <w:marTop w:val="0"/>
      <w:marBottom w:val="0"/>
      <w:divBdr>
        <w:top w:val="none" w:sz="0" w:space="0" w:color="auto"/>
        <w:left w:val="none" w:sz="0" w:space="0" w:color="auto"/>
        <w:bottom w:val="none" w:sz="0" w:space="0" w:color="auto"/>
        <w:right w:val="none" w:sz="0" w:space="0" w:color="auto"/>
      </w:divBdr>
      <w:divsChild>
        <w:div w:id="1909030644">
          <w:marLeft w:val="0"/>
          <w:marRight w:val="0"/>
          <w:marTop w:val="0"/>
          <w:marBottom w:val="0"/>
          <w:divBdr>
            <w:top w:val="none" w:sz="0" w:space="0" w:color="auto"/>
            <w:left w:val="none" w:sz="0" w:space="0" w:color="auto"/>
            <w:bottom w:val="none" w:sz="0" w:space="0" w:color="auto"/>
            <w:right w:val="none" w:sz="0" w:space="0" w:color="auto"/>
          </w:divBdr>
        </w:div>
        <w:div w:id="2116317162">
          <w:marLeft w:val="0"/>
          <w:marRight w:val="0"/>
          <w:marTop w:val="0"/>
          <w:marBottom w:val="0"/>
          <w:divBdr>
            <w:top w:val="none" w:sz="0" w:space="0" w:color="auto"/>
            <w:left w:val="none" w:sz="0" w:space="0" w:color="auto"/>
            <w:bottom w:val="none" w:sz="0" w:space="0" w:color="auto"/>
            <w:right w:val="none" w:sz="0" w:space="0" w:color="auto"/>
          </w:divBdr>
        </w:div>
        <w:div w:id="2122719854">
          <w:marLeft w:val="0"/>
          <w:marRight w:val="0"/>
          <w:marTop w:val="0"/>
          <w:marBottom w:val="0"/>
          <w:divBdr>
            <w:top w:val="none" w:sz="0" w:space="0" w:color="auto"/>
            <w:left w:val="none" w:sz="0" w:space="0" w:color="auto"/>
            <w:bottom w:val="none" w:sz="0" w:space="0" w:color="auto"/>
            <w:right w:val="none" w:sz="0" w:space="0" w:color="auto"/>
          </w:divBdr>
        </w:div>
        <w:div w:id="1936787537">
          <w:marLeft w:val="0"/>
          <w:marRight w:val="0"/>
          <w:marTop w:val="0"/>
          <w:marBottom w:val="0"/>
          <w:divBdr>
            <w:top w:val="none" w:sz="0" w:space="0" w:color="auto"/>
            <w:left w:val="none" w:sz="0" w:space="0" w:color="auto"/>
            <w:bottom w:val="none" w:sz="0" w:space="0" w:color="auto"/>
            <w:right w:val="none" w:sz="0" w:space="0" w:color="auto"/>
          </w:divBdr>
        </w:div>
        <w:div w:id="362100899">
          <w:marLeft w:val="0"/>
          <w:marRight w:val="0"/>
          <w:marTop w:val="0"/>
          <w:marBottom w:val="0"/>
          <w:divBdr>
            <w:top w:val="none" w:sz="0" w:space="0" w:color="auto"/>
            <w:left w:val="none" w:sz="0" w:space="0" w:color="auto"/>
            <w:bottom w:val="none" w:sz="0" w:space="0" w:color="auto"/>
            <w:right w:val="none" w:sz="0" w:space="0" w:color="auto"/>
          </w:divBdr>
        </w:div>
        <w:div w:id="1758166430">
          <w:marLeft w:val="0"/>
          <w:marRight w:val="0"/>
          <w:marTop w:val="0"/>
          <w:marBottom w:val="0"/>
          <w:divBdr>
            <w:top w:val="none" w:sz="0" w:space="0" w:color="auto"/>
            <w:left w:val="none" w:sz="0" w:space="0" w:color="auto"/>
            <w:bottom w:val="none" w:sz="0" w:space="0" w:color="auto"/>
            <w:right w:val="none" w:sz="0" w:space="0" w:color="auto"/>
          </w:divBdr>
        </w:div>
        <w:div w:id="1414278757">
          <w:marLeft w:val="0"/>
          <w:marRight w:val="0"/>
          <w:marTop w:val="0"/>
          <w:marBottom w:val="0"/>
          <w:divBdr>
            <w:top w:val="none" w:sz="0" w:space="0" w:color="auto"/>
            <w:left w:val="none" w:sz="0" w:space="0" w:color="auto"/>
            <w:bottom w:val="none" w:sz="0" w:space="0" w:color="auto"/>
            <w:right w:val="none" w:sz="0" w:space="0" w:color="auto"/>
          </w:divBdr>
        </w:div>
        <w:div w:id="1968319185">
          <w:marLeft w:val="0"/>
          <w:marRight w:val="0"/>
          <w:marTop w:val="0"/>
          <w:marBottom w:val="0"/>
          <w:divBdr>
            <w:top w:val="none" w:sz="0" w:space="0" w:color="auto"/>
            <w:left w:val="none" w:sz="0" w:space="0" w:color="auto"/>
            <w:bottom w:val="none" w:sz="0" w:space="0" w:color="auto"/>
            <w:right w:val="none" w:sz="0" w:space="0" w:color="auto"/>
          </w:divBdr>
        </w:div>
        <w:div w:id="1002046234">
          <w:marLeft w:val="0"/>
          <w:marRight w:val="0"/>
          <w:marTop w:val="0"/>
          <w:marBottom w:val="0"/>
          <w:divBdr>
            <w:top w:val="none" w:sz="0" w:space="0" w:color="auto"/>
            <w:left w:val="none" w:sz="0" w:space="0" w:color="auto"/>
            <w:bottom w:val="none" w:sz="0" w:space="0" w:color="auto"/>
            <w:right w:val="none" w:sz="0" w:space="0" w:color="auto"/>
          </w:divBdr>
        </w:div>
        <w:div w:id="116065016">
          <w:marLeft w:val="0"/>
          <w:marRight w:val="0"/>
          <w:marTop w:val="0"/>
          <w:marBottom w:val="0"/>
          <w:divBdr>
            <w:top w:val="none" w:sz="0" w:space="0" w:color="auto"/>
            <w:left w:val="none" w:sz="0" w:space="0" w:color="auto"/>
            <w:bottom w:val="none" w:sz="0" w:space="0" w:color="auto"/>
            <w:right w:val="none" w:sz="0" w:space="0" w:color="auto"/>
          </w:divBdr>
        </w:div>
        <w:div w:id="1568372950">
          <w:marLeft w:val="0"/>
          <w:marRight w:val="0"/>
          <w:marTop w:val="0"/>
          <w:marBottom w:val="0"/>
          <w:divBdr>
            <w:top w:val="none" w:sz="0" w:space="0" w:color="auto"/>
            <w:left w:val="none" w:sz="0" w:space="0" w:color="auto"/>
            <w:bottom w:val="none" w:sz="0" w:space="0" w:color="auto"/>
            <w:right w:val="none" w:sz="0" w:space="0" w:color="auto"/>
          </w:divBdr>
        </w:div>
        <w:div w:id="1181119161">
          <w:marLeft w:val="0"/>
          <w:marRight w:val="0"/>
          <w:marTop w:val="0"/>
          <w:marBottom w:val="0"/>
          <w:divBdr>
            <w:top w:val="none" w:sz="0" w:space="0" w:color="auto"/>
            <w:left w:val="none" w:sz="0" w:space="0" w:color="auto"/>
            <w:bottom w:val="none" w:sz="0" w:space="0" w:color="auto"/>
            <w:right w:val="none" w:sz="0" w:space="0" w:color="auto"/>
          </w:divBdr>
        </w:div>
        <w:div w:id="1132209774">
          <w:marLeft w:val="0"/>
          <w:marRight w:val="0"/>
          <w:marTop w:val="0"/>
          <w:marBottom w:val="0"/>
          <w:divBdr>
            <w:top w:val="none" w:sz="0" w:space="0" w:color="auto"/>
            <w:left w:val="none" w:sz="0" w:space="0" w:color="auto"/>
            <w:bottom w:val="none" w:sz="0" w:space="0" w:color="auto"/>
            <w:right w:val="none" w:sz="0" w:space="0" w:color="auto"/>
          </w:divBdr>
        </w:div>
        <w:div w:id="1660577089">
          <w:marLeft w:val="0"/>
          <w:marRight w:val="0"/>
          <w:marTop w:val="0"/>
          <w:marBottom w:val="0"/>
          <w:divBdr>
            <w:top w:val="none" w:sz="0" w:space="0" w:color="auto"/>
            <w:left w:val="none" w:sz="0" w:space="0" w:color="auto"/>
            <w:bottom w:val="none" w:sz="0" w:space="0" w:color="auto"/>
            <w:right w:val="none" w:sz="0" w:space="0" w:color="auto"/>
          </w:divBdr>
        </w:div>
        <w:div w:id="97605498">
          <w:marLeft w:val="0"/>
          <w:marRight w:val="0"/>
          <w:marTop w:val="0"/>
          <w:marBottom w:val="0"/>
          <w:divBdr>
            <w:top w:val="none" w:sz="0" w:space="0" w:color="auto"/>
            <w:left w:val="none" w:sz="0" w:space="0" w:color="auto"/>
            <w:bottom w:val="none" w:sz="0" w:space="0" w:color="auto"/>
            <w:right w:val="none" w:sz="0" w:space="0" w:color="auto"/>
          </w:divBdr>
        </w:div>
        <w:div w:id="2085301637">
          <w:marLeft w:val="0"/>
          <w:marRight w:val="0"/>
          <w:marTop w:val="0"/>
          <w:marBottom w:val="0"/>
          <w:divBdr>
            <w:top w:val="none" w:sz="0" w:space="0" w:color="auto"/>
            <w:left w:val="none" w:sz="0" w:space="0" w:color="auto"/>
            <w:bottom w:val="none" w:sz="0" w:space="0" w:color="auto"/>
            <w:right w:val="none" w:sz="0" w:space="0" w:color="auto"/>
          </w:divBdr>
        </w:div>
        <w:div w:id="1439839093">
          <w:marLeft w:val="0"/>
          <w:marRight w:val="0"/>
          <w:marTop w:val="0"/>
          <w:marBottom w:val="0"/>
          <w:divBdr>
            <w:top w:val="none" w:sz="0" w:space="0" w:color="auto"/>
            <w:left w:val="none" w:sz="0" w:space="0" w:color="auto"/>
            <w:bottom w:val="none" w:sz="0" w:space="0" w:color="auto"/>
            <w:right w:val="none" w:sz="0" w:space="0" w:color="auto"/>
          </w:divBdr>
        </w:div>
        <w:div w:id="340814279">
          <w:marLeft w:val="0"/>
          <w:marRight w:val="0"/>
          <w:marTop w:val="0"/>
          <w:marBottom w:val="0"/>
          <w:divBdr>
            <w:top w:val="none" w:sz="0" w:space="0" w:color="auto"/>
            <w:left w:val="none" w:sz="0" w:space="0" w:color="auto"/>
            <w:bottom w:val="none" w:sz="0" w:space="0" w:color="auto"/>
            <w:right w:val="none" w:sz="0" w:space="0" w:color="auto"/>
          </w:divBdr>
        </w:div>
        <w:div w:id="510724479">
          <w:marLeft w:val="0"/>
          <w:marRight w:val="0"/>
          <w:marTop w:val="0"/>
          <w:marBottom w:val="0"/>
          <w:divBdr>
            <w:top w:val="none" w:sz="0" w:space="0" w:color="auto"/>
            <w:left w:val="none" w:sz="0" w:space="0" w:color="auto"/>
            <w:bottom w:val="none" w:sz="0" w:space="0" w:color="auto"/>
            <w:right w:val="none" w:sz="0" w:space="0" w:color="auto"/>
          </w:divBdr>
        </w:div>
        <w:div w:id="1305771670">
          <w:marLeft w:val="0"/>
          <w:marRight w:val="0"/>
          <w:marTop w:val="0"/>
          <w:marBottom w:val="0"/>
          <w:divBdr>
            <w:top w:val="none" w:sz="0" w:space="0" w:color="auto"/>
            <w:left w:val="none" w:sz="0" w:space="0" w:color="auto"/>
            <w:bottom w:val="none" w:sz="0" w:space="0" w:color="auto"/>
            <w:right w:val="none" w:sz="0" w:space="0" w:color="auto"/>
          </w:divBdr>
        </w:div>
        <w:div w:id="2141456495">
          <w:marLeft w:val="0"/>
          <w:marRight w:val="0"/>
          <w:marTop w:val="0"/>
          <w:marBottom w:val="0"/>
          <w:divBdr>
            <w:top w:val="none" w:sz="0" w:space="0" w:color="auto"/>
            <w:left w:val="none" w:sz="0" w:space="0" w:color="auto"/>
            <w:bottom w:val="none" w:sz="0" w:space="0" w:color="auto"/>
            <w:right w:val="none" w:sz="0" w:space="0" w:color="auto"/>
          </w:divBdr>
        </w:div>
        <w:div w:id="610749495">
          <w:marLeft w:val="0"/>
          <w:marRight w:val="0"/>
          <w:marTop w:val="0"/>
          <w:marBottom w:val="0"/>
          <w:divBdr>
            <w:top w:val="none" w:sz="0" w:space="0" w:color="auto"/>
            <w:left w:val="none" w:sz="0" w:space="0" w:color="auto"/>
            <w:bottom w:val="none" w:sz="0" w:space="0" w:color="auto"/>
            <w:right w:val="none" w:sz="0" w:space="0" w:color="auto"/>
          </w:divBdr>
        </w:div>
        <w:div w:id="201329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547</Words>
  <Characters>2693</Characters>
  <Application>Microsoft Office Word</Application>
  <DocSecurity>0</DocSecurity>
  <Lines>897</Lines>
  <Paragraphs>323</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2022-10-17T13:09:00Z</dcterms:created>
  <dcterms:modified xsi:type="dcterms:W3CDTF">2022-10-17T13:13:00Z</dcterms:modified>
</cp:coreProperties>
</file>